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14" w:rsidRPr="004701B1" w:rsidRDefault="008A6B32" w:rsidP="004701B1">
      <w:pPr>
        <w:jc w:val="center"/>
        <w:rPr>
          <w:b/>
          <w:sz w:val="28"/>
          <w:szCs w:val="28"/>
        </w:rPr>
      </w:pPr>
      <w:bookmarkStart w:id="0" w:name="_GoBack"/>
      <w:bookmarkEnd w:id="0"/>
      <w:r>
        <w:rPr>
          <w:b/>
          <w:sz w:val="28"/>
          <w:szCs w:val="28"/>
        </w:rPr>
        <w:t>FY 2019</w:t>
      </w:r>
      <w:r w:rsidR="00E23314" w:rsidRPr="006C0E96">
        <w:rPr>
          <w:b/>
          <w:sz w:val="28"/>
          <w:szCs w:val="28"/>
        </w:rPr>
        <w:t xml:space="preserve"> Continuum of Care (CoC) Program Competition NOFA Overview</w:t>
      </w:r>
      <w:r w:rsidR="0042262B">
        <w:rPr>
          <w:b/>
          <w:sz w:val="28"/>
          <w:szCs w:val="28"/>
        </w:rPr>
        <w:t xml:space="preserve"> </w:t>
      </w:r>
    </w:p>
    <w:p w:rsidR="00E23314" w:rsidRDefault="00E23314" w:rsidP="00E23314">
      <w:r>
        <w:t>Fun</w:t>
      </w:r>
      <w:r w:rsidR="008A6B32">
        <w:t>ding Opportunity Number: FR-6300</w:t>
      </w:r>
      <w:r>
        <w:t>-N-25</w:t>
      </w:r>
      <w:r w:rsidR="00DE2D05">
        <w:t xml:space="preserve"> - </w:t>
      </w:r>
      <w:r>
        <w:t>CFDA Number: 14.267</w:t>
      </w:r>
    </w:p>
    <w:tbl>
      <w:tblPr>
        <w:tblStyle w:val="TableGrid"/>
        <w:tblW w:w="9805" w:type="dxa"/>
        <w:tblLook w:val="04A0" w:firstRow="1" w:lastRow="0" w:firstColumn="1" w:lastColumn="0" w:noHBand="0" w:noVBand="1"/>
      </w:tblPr>
      <w:tblGrid>
        <w:gridCol w:w="9805"/>
      </w:tblGrid>
      <w:tr w:rsidR="00E23314" w:rsidTr="006C0E96">
        <w:tc>
          <w:tcPr>
            <w:tcW w:w="9805" w:type="dxa"/>
            <w:shd w:val="clear" w:color="auto" w:fill="D9D9D9" w:themeFill="background1" w:themeFillShade="D9"/>
          </w:tcPr>
          <w:p w:rsidR="00E23314" w:rsidRPr="00EA4682" w:rsidRDefault="00E23314" w:rsidP="00E23314">
            <w:pPr>
              <w:rPr>
                <w:color w:val="1F497D"/>
              </w:rPr>
            </w:pPr>
            <w:r>
              <w:t>IMPORTANT PROJEC</w:t>
            </w:r>
            <w:r w:rsidR="0002125E">
              <w:t xml:space="preserve">T APPLICATION DATES &amp; DEADLINES </w:t>
            </w:r>
            <w:r w:rsidR="007D0226">
              <w:t>Central MN</w:t>
            </w:r>
            <w:r w:rsidR="0002125E">
              <w:t xml:space="preserve"> CoC</w:t>
            </w:r>
            <w:r w:rsidR="00B54B0B">
              <w:t xml:space="preserve"> – tentative (subject to change based on HUD availability in eSnaps and</w:t>
            </w:r>
            <w:r w:rsidR="0042262B">
              <w:t xml:space="preserve"> CoC </w:t>
            </w:r>
            <w:r w:rsidR="00B54B0B">
              <w:t>updates)</w:t>
            </w:r>
            <w:r w:rsidR="00EA4682">
              <w:t xml:space="preserve"> – </w:t>
            </w:r>
            <w:r w:rsidR="001A06BB">
              <w:t xml:space="preserve">Central MN </w:t>
            </w:r>
            <w:r w:rsidR="00EA4682">
              <w:t xml:space="preserve">CoC website: </w:t>
            </w:r>
            <w:r w:rsidR="001A06BB" w:rsidRPr="001A06BB">
              <w:t>https://www.cmhp.net/continuum-of-care-information</w:t>
            </w:r>
          </w:p>
          <w:p w:rsidR="004701B1" w:rsidRDefault="001A06BB" w:rsidP="00E23314">
            <w:pPr>
              <w:pStyle w:val="ListParagraph"/>
              <w:numPr>
                <w:ilvl w:val="0"/>
                <w:numId w:val="1"/>
              </w:numPr>
            </w:pPr>
            <w:r w:rsidRPr="00B52836">
              <w:rPr>
                <w:b/>
              </w:rPr>
              <w:t xml:space="preserve">July </w:t>
            </w:r>
            <w:r w:rsidR="00B6687A">
              <w:rPr>
                <w:b/>
              </w:rPr>
              <w:t>15</w:t>
            </w:r>
            <w:r w:rsidR="00B35850">
              <w:rPr>
                <w:b/>
              </w:rPr>
              <w:t>, 2019</w:t>
            </w:r>
            <w:r w:rsidR="00DE2D05">
              <w:t xml:space="preserve"> </w:t>
            </w:r>
            <w:r w:rsidR="00D13C7C" w:rsidRPr="00B52836">
              <w:t>- New</w:t>
            </w:r>
            <w:r w:rsidR="00B52836" w:rsidRPr="00870B88">
              <w:rPr>
                <w:rFonts w:cstheme="minorHAnsi"/>
              </w:rPr>
              <w:t xml:space="preserve"> Project pre-application RFP release </w:t>
            </w:r>
            <w:r w:rsidR="00B52836">
              <w:rPr>
                <w:rFonts w:cstheme="minorHAnsi"/>
              </w:rPr>
              <w:t xml:space="preserve">through Central MN CoC portal – posted on </w:t>
            </w:r>
            <w:r w:rsidR="00B35850">
              <w:rPr>
                <w:rFonts w:cstheme="minorHAnsi"/>
              </w:rPr>
              <w:t xml:space="preserve">        </w:t>
            </w:r>
            <w:r w:rsidR="00B52836">
              <w:rPr>
                <w:rFonts w:cstheme="minorHAnsi"/>
              </w:rPr>
              <w:t>CMHP</w:t>
            </w:r>
            <w:r w:rsidR="00B52836" w:rsidRPr="00870B88">
              <w:rPr>
                <w:rFonts w:cstheme="minorHAnsi"/>
              </w:rPr>
              <w:t xml:space="preserve"> website</w:t>
            </w:r>
            <w:r w:rsidR="00B52836">
              <w:rPr>
                <w:rFonts w:cstheme="minorHAnsi"/>
              </w:rPr>
              <w:t xml:space="preserve"> and distributed on </w:t>
            </w:r>
            <w:r w:rsidR="00B52836" w:rsidRPr="00870B88">
              <w:rPr>
                <w:rFonts w:cstheme="minorHAnsi"/>
              </w:rPr>
              <w:t>CoC listserv</w:t>
            </w:r>
            <w:r w:rsidR="00B52836">
              <w:rPr>
                <w:rFonts w:cstheme="minorHAnsi"/>
              </w:rPr>
              <w:t>.</w:t>
            </w:r>
          </w:p>
          <w:p w:rsidR="00E23314" w:rsidRDefault="00BF5FA0" w:rsidP="00F35692">
            <w:pPr>
              <w:pStyle w:val="ListParagraph"/>
              <w:numPr>
                <w:ilvl w:val="0"/>
                <w:numId w:val="1"/>
              </w:numPr>
            </w:pPr>
            <w:r w:rsidRPr="00D13C7C">
              <w:rPr>
                <w:b/>
              </w:rPr>
              <w:t>July 1</w:t>
            </w:r>
            <w:r w:rsidR="008A6B32" w:rsidRPr="00D13C7C">
              <w:rPr>
                <w:b/>
              </w:rPr>
              <w:t>7</w:t>
            </w:r>
            <w:r w:rsidR="00B35850">
              <w:rPr>
                <w:b/>
              </w:rPr>
              <w:t>, 2019</w:t>
            </w:r>
            <w:r w:rsidR="008A6B32" w:rsidRPr="00D13C7C">
              <w:rPr>
                <w:b/>
              </w:rPr>
              <w:t xml:space="preserve"> </w:t>
            </w:r>
            <w:r w:rsidR="00E23314">
              <w:t xml:space="preserve"> – </w:t>
            </w:r>
            <w:r w:rsidR="008A6B32">
              <w:t xml:space="preserve">Renewal applications </w:t>
            </w:r>
            <w:r w:rsidR="00DE2D05">
              <w:t xml:space="preserve">DUE - </w:t>
            </w:r>
            <w:r w:rsidR="00E23314">
              <w:t xml:space="preserve">Signed </w:t>
            </w:r>
            <w:r w:rsidR="00BE39CE" w:rsidRPr="00D13C7C">
              <w:rPr>
                <w:b/>
              </w:rPr>
              <w:t>Letter of I</w:t>
            </w:r>
            <w:r w:rsidR="00E23314" w:rsidRPr="00D13C7C">
              <w:rPr>
                <w:b/>
              </w:rPr>
              <w:t>ntent to Apply</w:t>
            </w:r>
            <w:r w:rsidR="00BE39CE">
              <w:t xml:space="preserve"> &amp; Threshold form </w:t>
            </w:r>
            <w:r w:rsidR="00E23314">
              <w:t>due to CoC via email</w:t>
            </w:r>
            <w:r w:rsidR="00D13C7C">
              <w:t xml:space="preserve"> </w:t>
            </w:r>
            <w:r w:rsidR="00E23314">
              <w:t>in PDF format</w:t>
            </w:r>
            <w:r w:rsidR="00DE2D05">
              <w:t xml:space="preserve"> </w:t>
            </w:r>
            <w:r w:rsidR="00B64BA3">
              <w:t>(DO NOT SUBMIT IN E-SNAPS)</w:t>
            </w:r>
          </w:p>
          <w:p w:rsidR="00002277" w:rsidRDefault="00D13C7C" w:rsidP="00E23314">
            <w:pPr>
              <w:pStyle w:val="ListParagraph"/>
              <w:numPr>
                <w:ilvl w:val="0"/>
                <w:numId w:val="1"/>
              </w:numPr>
            </w:pPr>
            <w:r>
              <w:rPr>
                <w:b/>
              </w:rPr>
              <w:t>July 29</w:t>
            </w:r>
            <w:r w:rsidR="00B35850">
              <w:rPr>
                <w:b/>
              </w:rPr>
              <w:t>, 2019</w:t>
            </w:r>
            <w:r w:rsidR="00002277">
              <w:rPr>
                <w:b/>
              </w:rPr>
              <w:t xml:space="preserve"> </w:t>
            </w:r>
            <w:r w:rsidR="00002277">
              <w:t xml:space="preserve">– DUE </w:t>
            </w:r>
            <w:r w:rsidR="00B35850">
              <w:t>–</w:t>
            </w:r>
            <w:r w:rsidR="00002277">
              <w:t xml:space="preserve"> </w:t>
            </w:r>
            <w:r w:rsidR="00B35850">
              <w:t xml:space="preserve">New Project </w:t>
            </w:r>
            <w:r w:rsidR="00002277">
              <w:t xml:space="preserve">Signed </w:t>
            </w:r>
            <w:r w:rsidR="00002277">
              <w:rPr>
                <w:b/>
              </w:rPr>
              <w:t>Letter of I</w:t>
            </w:r>
            <w:r w:rsidR="00002277" w:rsidRPr="00DE2D05">
              <w:rPr>
                <w:b/>
              </w:rPr>
              <w:t>ntent to Apply</w:t>
            </w:r>
            <w:r w:rsidR="00002277">
              <w:t xml:space="preserve"> &amp; Threshold form due to CoC via email in PDF format (DO NOT SUBMIT IN E-SNAPS)</w:t>
            </w:r>
          </w:p>
          <w:p w:rsidR="00E23314" w:rsidRDefault="00B6687A" w:rsidP="00E23314">
            <w:pPr>
              <w:pStyle w:val="ListParagraph"/>
              <w:numPr>
                <w:ilvl w:val="0"/>
                <w:numId w:val="1"/>
              </w:numPr>
            </w:pPr>
            <w:r>
              <w:rPr>
                <w:b/>
              </w:rPr>
              <w:t>August 1, 2019</w:t>
            </w:r>
            <w:r w:rsidR="00E23314">
              <w:t xml:space="preserve"> – Project Application Lab </w:t>
            </w:r>
          </w:p>
          <w:p w:rsidR="004701B1" w:rsidRDefault="00B6687A" w:rsidP="00E23314">
            <w:pPr>
              <w:pStyle w:val="ListParagraph"/>
              <w:numPr>
                <w:ilvl w:val="0"/>
                <w:numId w:val="1"/>
              </w:numPr>
            </w:pPr>
            <w:r>
              <w:rPr>
                <w:b/>
              </w:rPr>
              <w:t>August 19, 2019</w:t>
            </w:r>
            <w:r w:rsidR="004701B1">
              <w:t xml:space="preserve"> –</w:t>
            </w:r>
            <w:r w:rsidR="001A06BB">
              <w:t>Project applications submitted to CoC via PDF for ranking</w:t>
            </w:r>
          </w:p>
          <w:p w:rsidR="007136B4" w:rsidRDefault="008A6B32" w:rsidP="00E23314">
            <w:pPr>
              <w:pStyle w:val="ListParagraph"/>
              <w:numPr>
                <w:ilvl w:val="0"/>
                <w:numId w:val="1"/>
              </w:numPr>
            </w:pPr>
            <w:r>
              <w:rPr>
                <w:b/>
              </w:rPr>
              <w:t>Week of August 26</w:t>
            </w:r>
            <w:r w:rsidR="00B35850">
              <w:rPr>
                <w:b/>
              </w:rPr>
              <w:t>, 2019</w:t>
            </w:r>
            <w:r w:rsidR="007136B4">
              <w:rPr>
                <w:b/>
              </w:rPr>
              <w:t xml:space="preserve"> </w:t>
            </w:r>
            <w:r w:rsidR="007136B4">
              <w:t>– Scoring and ranking of Project Applications</w:t>
            </w:r>
          </w:p>
          <w:p w:rsidR="0021519C" w:rsidRDefault="00B6687A" w:rsidP="00B64BA3">
            <w:pPr>
              <w:pStyle w:val="ListParagraph"/>
              <w:numPr>
                <w:ilvl w:val="0"/>
                <w:numId w:val="1"/>
              </w:numPr>
            </w:pPr>
            <w:r>
              <w:rPr>
                <w:b/>
              </w:rPr>
              <w:t>September 3, 2019</w:t>
            </w:r>
            <w:r w:rsidR="001A06BB">
              <w:rPr>
                <w:b/>
              </w:rPr>
              <w:t xml:space="preserve">  - </w:t>
            </w:r>
            <w:r w:rsidR="001A06BB" w:rsidRPr="001A06BB">
              <w:t>CoC vote on Scoring and ranking of Project applications</w:t>
            </w:r>
            <w:r w:rsidR="000401F8" w:rsidRPr="001A06BB">
              <w:t xml:space="preserve"> </w:t>
            </w:r>
          </w:p>
          <w:p w:rsidR="00C21959" w:rsidRDefault="00B6687A" w:rsidP="00B64BA3">
            <w:pPr>
              <w:pStyle w:val="ListParagraph"/>
              <w:numPr>
                <w:ilvl w:val="0"/>
                <w:numId w:val="1"/>
              </w:numPr>
            </w:pPr>
            <w:r>
              <w:rPr>
                <w:b/>
              </w:rPr>
              <w:t>September 13, 2019</w:t>
            </w:r>
            <w:r w:rsidR="00C21959">
              <w:rPr>
                <w:b/>
              </w:rPr>
              <w:t xml:space="preserve"> –</w:t>
            </w:r>
            <w:r w:rsidR="00C21959">
              <w:t xml:space="preserve"> Project applications submitted to HUD via eSNAPS</w:t>
            </w:r>
          </w:p>
          <w:p w:rsidR="00E23314" w:rsidRDefault="00B6687A" w:rsidP="00E23314">
            <w:pPr>
              <w:pStyle w:val="ListParagraph"/>
              <w:numPr>
                <w:ilvl w:val="0"/>
                <w:numId w:val="1"/>
              </w:numPr>
            </w:pPr>
            <w:r>
              <w:rPr>
                <w:b/>
              </w:rPr>
              <w:t>September 13</w:t>
            </w:r>
            <w:r w:rsidR="008A6B32">
              <w:rPr>
                <w:b/>
              </w:rPr>
              <w:t>, 2019</w:t>
            </w:r>
            <w:r w:rsidR="00E23314">
              <w:t xml:space="preserve"> – Project Applications notified of inclusion in CoC Collaborative Application</w:t>
            </w:r>
          </w:p>
          <w:p w:rsidR="00E23314" w:rsidRDefault="00E23314" w:rsidP="00A21084">
            <w:pPr>
              <w:pStyle w:val="ListParagraph"/>
              <w:numPr>
                <w:ilvl w:val="0"/>
                <w:numId w:val="1"/>
              </w:numPr>
            </w:pPr>
            <w:r w:rsidRPr="00B52836">
              <w:rPr>
                <w:b/>
              </w:rPr>
              <w:t>S</w:t>
            </w:r>
            <w:r w:rsidR="00B6687A">
              <w:rPr>
                <w:b/>
              </w:rPr>
              <w:t>eptember 13, 2019</w:t>
            </w:r>
            <w:r w:rsidR="00F777D8">
              <w:t xml:space="preserve"> </w:t>
            </w:r>
            <w:r>
              <w:t xml:space="preserve"> – Appeals to HUD if rejected by CoC</w:t>
            </w:r>
          </w:p>
        </w:tc>
      </w:tr>
    </w:tbl>
    <w:p w:rsidR="00E23314" w:rsidRDefault="00E23314" w:rsidP="00E23314">
      <w:pPr>
        <w:rPr>
          <w:i/>
        </w:rPr>
      </w:pPr>
      <w:r w:rsidRPr="00E23314">
        <w:rPr>
          <w:u w:val="single"/>
        </w:rPr>
        <w:t>HUD CoC Consolidated Application Deadline</w:t>
      </w:r>
      <w:r>
        <w:t xml:space="preserve">:  </w:t>
      </w:r>
      <w:r w:rsidR="002F4CD0" w:rsidRPr="00D13C7C">
        <w:rPr>
          <w:highlight w:val="yellow"/>
        </w:rPr>
        <w:t>September</w:t>
      </w:r>
      <w:r w:rsidR="008A6B32" w:rsidRPr="00D13C7C">
        <w:rPr>
          <w:highlight w:val="yellow"/>
        </w:rPr>
        <w:t xml:space="preserve"> 30, 2019</w:t>
      </w:r>
      <w:r w:rsidR="00782591" w:rsidRPr="00D13C7C">
        <w:rPr>
          <w:highlight w:val="yellow"/>
        </w:rPr>
        <w:t xml:space="preserve"> @ 8:00</w:t>
      </w:r>
      <w:r w:rsidRPr="00D13C7C">
        <w:rPr>
          <w:highlight w:val="yellow"/>
        </w:rPr>
        <w:t xml:space="preserve"> PM</w:t>
      </w:r>
      <w:r w:rsidR="00782591" w:rsidRPr="00D13C7C">
        <w:rPr>
          <w:highlight w:val="yellow"/>
        </w:rPr>
        <w:t xml:space="preserve"> - EST</w:t>
      </w:r>
      <w:r w:rsidRPr="00D13C7C">
        <w:rPr>
          <w:highlight w:val="yellow"/>
        </w:rPr>
        <w:t>.</w:t>
      </w:r>
      <w:r>
        <w:t xml:space="preserve">  </w:t>
      </w:r>
      <w:r w:rsidRPr="00E23314">
        <w:rPr>
          <w:b/>
        </w:rPr>
        <w:t>Note:</w:t>
      </w:r>
      <w:r>
        <w:t xml:space="preserve">  </w:t>
      </w:r>
      <w:r w:rsidRPr="00E23314">
        <w:rPr>
          <w:i/>
        </w:rPr>
        <w:t>Project Applications must be submitted by the Project deadlines NOT the Consolidated Application deadline.</w:t>
      </w:r>
    </w:p>
    <w:p w:rsidR="003C624F" w:rsidRDefault="00B52836" w:rsidP="00E23314">
      <w:pPr>
        <w:rPr>
          <w:u w:val="single"/>
        </w:rPr>
      </w:pPr>
      <w:r>
        <w:rPr>
          <w:u w:val="single"/>
        </w:rPr>
        <w:t>Central MN CoC 505</w:t>
      </w:r>
      <w:r w:rsidR="008A6B32">
        <w:rPr>
          <w:u w:val="single"/>
        </w:rPr>
        <w:t xml:space="preserve"> FY 2019</w:t>
      </w:r>
      <w:r w:rsidR="003C624F">
        <w:rPr>
          <w:u w:val="single"/>
        </w:rPr>
        <w:t>:</w:t>
      </w:r>
    </w:p>
    <w:tbl>
      <w:tblPr>
        <w:tblStyle w:val="TableGrid"/>
        <w:tblW w:w="9805" w:type="dxa"/>
        <w:tblLook w:val="04A0" w:firstRow="1" w:lastRow="0" w:firstColumn="1" w:lastColumn="0" w:noHBand="0" w:noVBand="1"/>
      </w:tblPr>
      <w:tblGrid>
        <w:gridCol w:w="1615"/>
        <w:gridCol w:w="8190"/>
      </w:tblGrid>
      <w:tr w:rsidR="00200F15" w:rsidTr="00B17269">
        <w:tc>
          <w:tcPr>
            <w:tcW w:w="1615" w:type="dxa"/>
            <w:shd w:val="clear" w:color="auto" w:fill="D9D9D9" w:themeFill="background1" w:themeFillShade="D9"/>
          </w:tcPr>
          <w:p w:rsidR="00200F15" w:rsidRDefault="00200F15" w:rsidP="002F4CD0">
            <w:r>
              <w:t>$</w:t>
            </w:r>
            <w:r w:rsidR="0053067C">
              <w:t>1,437,904</w:t>
            </w:r>
          </w:p>
        </w:tc>
        <w:tc>
          <w:tcPr>
            <w:tcW w:w="8190" w:type="dxa"/>
            <w:shd w:val="clear" w:color="auto" w:fill="D9D9D9" w:themeFill="background1" w:themeFillShade="D9"/>
          </w:tcPr>
          <w:p w:rsidR="00200F15" w:rsidRDefault="00200F15" w:rsidP="005D038D">
            <w:r>
              <w:t>Primary Pro-Rata Need (PPRN)</w:t>
            </w:r>
          </w:p>
        </w:tc>
      </w:tr>
      <w:tr w:rsidR="00200F15" w:rsidTr="00B17269">
        <w:tc>
          <w:tcPr>
            <w:tcW w:w="1615" w:type="dxa"/>
            <w:shd w:val="clear" w:color="auto" w:fill="D9D9D9" w:themeFill="background1" w:themeFillShade="D9"/>
          </w:tcPr>
          <w:p w:rsidR="00200F15" w:rsidRDefault="002F4CD0" w:rsidP="005D038D">
            <w:r>
              <w:t>$</w:t>
            </w:r>
            <w:r w:rsidR="0053067C">
              <w:t>1,549,831</w:t>
            </w:r>
          </w:p>
        </w:tc>
        <w:tc>
          <w:tcPr>
            <w:tcW w:w="8190" w:type="dxa"/>
            <w:shd w:val="clear" w:color="auto" w:fill="D9D9D9" w:themeFill="background1" w:themeFillShade="D9"/>
          </w:tcPr>
          <w:p w:rsidR="00200F15" w:rsidRDefault="00200F15" w:rsidP="005D038D">
            <w:r>
              <w:t>Estimated Annual Renewal Demand (ARD)</w:t>
            </w:r>
          </w:p>
        </w:tc>
      </w:tr>
      <w:tr w:rsidR="00200F15" w:rsidTr="00B17269">
        <w:tc>
          <w:tcPr>
            <w:tcW w:w="1615" w:type="dxa"/>
            <w:shd w:val="clear" w:color="auto" w:fill="D9D9D9" w:themeFill="background1" w:themeFillShade="D9"/>
          </w:tcPr>
          <w:p w:rsidR="00200F15" w:rsidRDefault="002F4CD0" w:rsidP="005D038D">
            <w:r>
              <w:t>$</w:t>
            </w:r>
            <w:r w:rsidR="0053067C">
              <w:t>1,465,640</w:t>
            </w:r>
          </w:p>
        </w:tc>
        <w:tc>
          <w:tcPr>
            <w:tcW w:w="8190" w:type="dxa"/>
            <w:shd w:val="clear" w:color="auto" w:fill="D9D9D9" w:themeFill="background1" w:themeFillShade="D9"/>
          </w:tcPr>
          <w:p w:rsidR="00200F15" w:rsidRDefault="00200F15" w:rsidP="005D038D">
            <w:r>
              <w:t>Tier 1 (94% of ARD)</w:t>
            </w:r>
          </w:p>
        </w:tc>
      </w:tr>
      <w:tr w:rsidR="00200F15" w:rsidTr="00B17269">
        <w:tc>
          <w:tcPr>
            <w:tcW w:w="1615" w:type="dxa"/>
            <w:shd w:val="clear" w:color="auto" w:fill="D9D9D9" w:themeFill="background1" w:themeFillShade="D9"/>
          </w:tcPr>
          <w:p w:rsidR="00200F15" w:rsidRDefault="002F4CD0" w:rsidP="005D038D">
            <w:r>
              <w:t>$</w:t>
            </w:r>
            <w:r w:rsidR="0053067C">
              <w:t>84,191</w:t>
            </w:r>
          </w:p>
        </w:tc>
        <w:tc>
          <w:tcPr>
            <w:tcW w:w="8190" w:type="dxa"/>
            <w:shd w:val="clear" w:color="auto" w:fill="D9D9D9" w:themeFill="background1" w:themeFillShade="D9"/>
          </w:tcPr>
          <w:p w:rsidR="00200F15" w:rsidRDefault="00200F15" w:rsidP="005D038D">
            <w:r>
              <w:t>Tier 2 (6% of ARD)</w:t>
            </w:r>
          </w:p>
        </w:tc>
      </w:tr>
      <w:tr w:rsidR="00200F15" w:rsidTr="00B17269">
        <w:tc>
          <w:tcPr>
            <w:tcW w:w="1615" w:type="dxa"/>
            <w:shd w:val="clear" w:color="auto" w:fill="D9D9D9" w:themeFill="background1" w:themeFillShade="D9"/>
          </w:tcPr>
          <w:p w:rsidR="00200F15" w:rsidRDefault="002F4CD0" w:rsidP="005D038D">
            <w:r>
              <w:t>$</w:t>
            </w:r>
            <w:r w:rsidR="0053067C">
              <w:t>77,492</w:t>
            </w:r>
          </w:p>
        </w:tc>
        <w:tc>
          <w:tcPr>
            <w:tcW w:w="8190" w:type="dxa"/>
            <w:shd w:val="clear" w:color="auto" w:fill="D9D9D9" w:themeFill="background1" w:themeFillShade="D9"/>
          </w:tcPr>
          <w:p w:rsidR="00200F15" w:rsidRDefault="00200F15" w:rsidP="005D038D">
            <w:r>
              <w:t>Permanent Housing Bonus opportunity</w:t>
            </w:r>
          </w:p>
        </w:tc>
      </w:tr>
      <w:tr w:rsidR="002F4CD0" w:rsidTr="00B17269">
        <w:tc>
          <w:tcPr>
            <w:tcW w:w="1615" w:type="dxa"/>
            <w:shd w:val="clear" w:color="auto" w:fill="D9D9D9" w:themeFill="background1" w:themeFillShade="D9"/>
          </w:tcPr>
          <w:p w:rsidR="002F4CD0" w:rsidRDefault="002F4CD0" w:rsidP="002F4CD0">
            <w:r>
              <w:t>$</w:t>
            </w:r>
            <w:r w:rsidR="0053067C">
              <w:t>143,790</w:t>
            </w:r>
          </w:p>
        </w:tc>
        <w:tc>
          <w:tcPr>
            <w:tcW w:w="8190" w:type="dxa"/>
            <w:shd w:val="clear" w:color="auto" w:fill="D9D9D9" w:themeFill="background1" w:themeFillShade="D9"/>
          </w:tcPr>
          <w:p w:rsidR="002F4CD0" w:rsidRDefault="002F4CD0" w:rsidP="005D038D">
            <w:r>
              <w:t>DV Permanent Housing Bonus opportunity</w:t>
            </w:r>
            <w:r w:rsidR="00A71DA5">
              <w:t xml:space="preserve"> (10% PPRN)</w:t>
            </w:r>
          </w:p>
        </w:tc>
      </w:tr>
    </w:tbl>
    <w:p w:rsidR="003C624F" w:rsidRDefault="003C624F" w:rsidP="00E23314">
      <w:pPr>
        <w:rPr>
          <w:u w:val="single"/>
        </w:rPr>
      </w:pPr>
    </w:p>
    <w:p w:rsidR="00B6687A" w:rsidRPr="00B6687A" w:rsidRDefault="00B6687A" w:rsidP="00B6687A">
      <w:pPr>
        <w:shd w:val="clear" w:color="auto" w:fill="FFFFFF"/>
        <w:spacing w:before="300" w:after="150" w:line="240" w:lineRule="auto"/>
        <w:outlineLvl w:val="2"/>
        <w:rPr>
          <w:rFonts w:ascii="Helvetica" w:eastAsia="Times New Roman" w:hAnsi="Helvetica" w:cs="Helvetica"/>
          <w:b/>
          <w:bCs/>
          <w:color w:val="333333"/>
          <w:sz w:val="36"/>
          <w:szCs w:val="36"/>
        </w:rPr>
      </w:pPr>
      <w:r w:rsidRPr="00B6687A">
        <w:rPr>
          <w:rFonts w:ascii="Helvetica" w:eastAsia="Times New Roman" w:hAnsi="Helvetica" w:cs="Helvetica"/>
          <w:b/>
          <w:bCs/>
          <w:color w:val="333333"/>
          <w:sz w:val="36"/>
          <w:szCs w:val="36"/>
        </w:rPr>
        <w:t>What’s New for the FY 2019 CoC Program Competition</w:t>
      </w:r>
    </w:p>
    <w:p w:rsidR="00B6687A" w:rsidRPr="00B6687A" w:rsidRDefault="00B6687A" w:rsidP="00B6687A">
      <w:pPr>
        <w:shd w:val="clear" w:color="auto" w:fill="FFFFFF"/>
        <w:spacing w:after="150" w:line="240" w:lineRule="auto"/>
        <w:rPr>
          <w:rFonts w:ascii="Helvetica" w:eastAsia="Times New Roman" w:hAnsi="Helvetica" w:cs="Helvetica"/>
          <w:color w:val="333333"/>
          <w:sz w:val="21"/>
          <w:szCs w:val="21"/>
        </w:rPr>
      </w:pPr>
      <w:r w:rsidRPr="00B6687A">
        <w:rPr>
          <w:rFonts w:ascii="Helvetica" w:eastAsia="Times New Roman" w:hAnsi="Helvetica" w:cs="Helvetica"/>
          <w:color w:val="333333"/>
          <w:sz w:val="21"/>
          <w:szCs w:val="21"/>
        </w:rPr>
        <w:t>The list below highlights some important information regarding new concepts CoCs should consider while planning for the FY 2019 CoC Program Competition. This list is not exhaustive and additional details are in the NOFA.</w:t>
      </w:r>
    </w:p>
    <w:p w:rsidR="00B6687A" w:rsidRPr="00B6687A" w:rsidRDefault="00B6687A" w:rsidP="00B6687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6687A">
        <w:rPr>
          <w:rFonts w:ascii="Helvetica" w:eastAsia="Times New Roman" w:hAnsi="Helvetica" w:cs="Helvetica"/>
          <w:i/>
          <w:iCs/>
          <w:color w:val="333333"/>
          <w:sz w:val="21"/>
          <w:szCs w:val="21"/>
        </w:rPr>
        <w:t>Youth Homelessness Demonstration Program (YHDP) Renewals</w:t>
      </w:r>
      <w:r w:rsidRPr="00B6687A">
        <w:rPr>
          <w:rFonts w:ascii="Helvetica" w:eastAsia="Times New Roman" w:hAnsi="Helvetica" w:cs="Helvetica"/>
          <w:color w:val="333333"/>
          <w:sz w:val="21"/>
          <w:szCs w:val="21"/>
        </w:rPr>
        <w:t>. Many of the YHDP projects awarded in FY 2016 are due for first-time renewal in the FY 2019 CoC Program Competition. See Section II.B.6 of the NOFA for additional details.</w:t>
      </w:r>
      <w:r w:rsidRPr="00B6687A">
        <w:rPr>
          <w:rFonts w:ascii="Helvetica" w:eastAsia="Times New Roman" w:hAnsi="Helvetica" w:cs="Helvetica"/>
          <w:color w:val="333333"/>
          <w:sz w:val="21"/>
          <w:szCs w:val="21"/>
        </w:rPr>
        <w:br/>
        <w:t> </w:t>
      </w:r>
    </w:p>
    <w:p w:rsidR="00B6687A" w:rsidRPr="00B6687A" w:rsidRDefault="00B6687A" w:rsidP="00B6687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6687A">
        <w:rPr>
          <w:rFonts w:ascii="Helvetica" w:eastAsia="Times New Roman" w:hAnsi="Helvetica" w:cs="Helvetica"/>
          <w:i/>
          <w:iCs/>
          <w:color w:val="333333"/>
          <w:sz w:val="21"/>
          <w:szCs w:val="21"/>
        </w:rPr>
        <w:t>Expansion Projects.</w:t>
      </w:r>
      <w:r w:rsidRPr="00B6687A">
        <w:rPr>
          <w:rFonts w:ascii="Helvetica" w:eastAsia="Times New Roman" w:hAnsi="Helvetica" w:cs="Helvetica"/>
          <w:color w:val="333333"/>
          <w:sz w:val="21"/>
          <w:szCs w:val="21"/>
        </w:rPr>
        <w:t> The application submission process for renewal projects that want to submit a new expansion project has changed. See Section III.C.2.j of the NOFA for additional details.</w:t>
      </w:r>
      <w:r w:rsidRPr="00B6687A">
        <w:rPr>
          <w:rFonts w:ascii="Helvetica" w:eastAsia="Times New Roman" w:hAnsi="Helvetica" w:cs="Helvetica"/>
          <w:color w:val="333333"/>
          <w:sz w:val="21"/>
          <w:szCs w:val="21"/>
        </w:rPr>
        <w:br/>
        <w:t> </w:t>
      </w:r>
    </w:p>
    <w:p w:rsidR="00B6687A" w:rsidRPr="00B6687A" w:rsidRDefault="00B6687A" w:rsidP="00B6687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6687A">
        <w:rPr>
          <w:rFonts w:ascii="Helvetica" w:eastAsia="Times New Roman" w:hAnsi="Helvetica" w:cs="Helvetica"/>
          <w:i/>
          <w:iCs/>
          <w:color w:val="333333"/>
          <w:sz w:val="21"/>
          <w:szCs w:val="21"/>
        </w:rPr>
        <w:t>Domestic Violence (DV) Bonus Projects</w:t>
      </w:r>
      <w:r w:rsidRPr="00B6687A">
        <w:rPr>
          <w:rFonts w:ascii="Helvetica" w:eastAsia="Times New Roman" w:hAnsi="Helvetica" w:cs="Helvetica"/>
          <w:color w:val="333333"/>
          <w:sz w:val="21"/>
          <w:szCs w:val="21"/>
        </w:rPr>
        <w:t xml:space="preserve">. There is another up to $50 million available for new DV Bonus projects (Section III.B.2.c of the NOFA) and many of the DV Bonus projects </w:t>
      </w:r>
      <w:r w:rsidRPr="00B6687A">
        <w:rPr>
          <w:rFonts w:ascii="Helvetica" w:eastAsia="Times New Roman" w:hAnsi="Helvetica" w:cs="Helvetica"/>
          <w:color w:val="333333"/>
          <w:sz w:val="21"/>
          <w:szCs w:val="21"/>
        </w:rPr>
        <w:lastRenderedPageBreak/>
        <w:t>awarded in last year’s FY 2018 CoC Program Competition are eligible for renewal.</w:t>
      </w:r>
      <w:r w:rsidRPr="00B6687A">
        <w:rPr>
          <w:rFonts w:ascii="Helvetica" w:eastAsia="Times New Roman" w:hAnsi="Helvetica" w:cs="Helvetica"/>
          <w:color w:val="333333"/>
          <w:sz w:val="21"/>
          <w:szCs w:val="21"/>
        </w:rPr>
        <w:br/>
        <w:t> </w:t>
      </w:r>
    </w:p>
    <w:p w:rsidR="00B6687A" w:rsidRDefault="00B6687A" w:rsidP="00B6687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6687A">
        <w:rPr>
          <w:rFonts w:ascii="Helvetica" w:eastAsia="Times New Roman" w:hAnsi="Helvetica" w:cs="Helvetica"/>
          <w:i/>
          <w:iCs/>
          <w:color w:val="333333"/>
          <w:sz w:val="21"/>
          <w:szCs w:val="21"/>
        </w:rPr>
        <w:t>CoC Bonus. </w:t>
      </w:r>
      <w:r w:rsidRPr="00B6687A">
        <w:rPr>
          <w:rFonts w:ascii="Helvetica" w:eastAsia="Times New Roman" w:hAnsi="Helvetica" w:cs="Helvetica"/>
          <w:color w:val="333333"/>
          <w:sz w:val="21"/>
          <w:szCs w:val="21"/>
        </w:rPr>
        <w:t>The CoC Bonus is calculated differently in FY 2019. As stated in Section III.C.2.c of the NOFA, “…CoC is eligible to apply for up to 5 percent of its Final Pro Rata Need (FPRN), or 25 percent of the CoC's Preliminary Pro Rata Need (PPRN) minus its Annual Renewal Demand (ARD), whichever is greater. To be eligible to receive a bonus project, a CoC must demonstrate that it ranks projects based on how they improve system performance as outlined in Section VII.B.1.a of this NOFA. The available amount per CoC can be found on the CoC Estimated ARD Report on the HUD Exchange.</w:t>
      </w:r>
    </w:p>
    <w:p w:rsidR="004C306B" w:rsidRPr="00B6687A" w:rsidRDefault="004C306B" w:rsidP="004C306B">
      <w:pPr>
        <w:shd w:val="clear" w:color="auto" w:fill="FFFFFF"/>
        <w:spacing w:before="100" w:beforeAutospacing="1" w:after="100" w:afterAutospacing="1"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Please see Full details on the 2019 HUD NOFA New Changes and Highlights</w:t>
      </w:r>
    </w:p>
    <w:p w:rsidR="00B6687A" w:rsidRDefault="00B6687A" w:rsidP="00E23314">
      <w:pPr>
        <w:rPr>
          <w:u w:val="single"/>
        </w:rPr>
      </w:pPr>
    </w:p>
    <w:sectPr w:rsidR="00B668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FA" w:rsidRDefault="008937FA" w:rsidP="00F6140B">
      <w:pPr>
        <w:spacing w:after="0" w:line="240" w:lineRule="auto"/>
      </w:pPr>
      <w:r>
        <w:separator/>
      </w:r>
    </w:p>
  </w:endnote>
  <w:endnote w:type="continuationSeparator" w:id="0">
    <w:p w:rsidR="008937FA" w:rsidRDefault="008937FA" w:rsidP="00F6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FA" w:rsidRDefault="008937FA" w:rsidP="00F6140B">
      <w:pPr>
        <w:spacing w:after="0" w:line="240" w:lineRule="auto"/>
      </w:pPr>
      <w:r>
        <w:separator/>
      </w:r>
    </w:p>
  </w:footnote>
  <w:footnote w:type="continuationSeparator" w:id="0">
    <w:p w:rsidR="008937FA" w:rsidRDefault="008937FA" w:rsidP="00F6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0B" w:rsidRDefault="00F61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81993"/>
    <w:multiLevelType w:val="hybridMultilevel"/>
    <w:tmpl w:val="BDBA00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3A16199"/>
    <w:multiLevelType w:val="hybridMultilevel"/>
    <w:tmpl w:val="DCEAA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62C0282"/>
    <w:multiLevelType w:val="hybridMultilevel"/>
    <w:tmpl w:val="D0DAFB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1843807"/>
    <w:multiLevelType w:val="hybridMultilevel"/>
    <w:tmpl w:val="7474F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15CD4"/>
    <w:multiLevelType w:val="hybridMultilevel"/>
    <w:tmpl w:val="B6D20F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51DE3"/>
    <w:multiLevelType w:val="hybridMultilevel"/>
    <w:tmpl w:val="8ABA9D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6BA370B"/>
    <w:multiLevelType w:val="multilevel"/>
    <w:tmpl w:val="C6DE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4199B"/>
    <w:multiLevelType w:val="hybridMultilevel"/>
    <w:tmpl w:val="02467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876B4"/>
    <w:multiLevelType w:val="hybridMultilevel"/>
    <w:tmpl w:val="5016C3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35F46"/>
    <w:multiLevelType w:val="hybridMultilevel"/>
    <w:tmpl w:val="1EC49C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1"/>
  </w:num>
  <w:num w:numId="6">
    <w:abstractNumId w:val="5"/>
  </w:num>
  <w:num w:numId="7">
    <w:abstractNumId w:val="0"/>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zNDM3NDK2MDExMjNU0lEKTi0uzszPAykwrAUAIq7slSwAAAA="/>
  </w:docVars>
  <w:rsids>
    <w:rsidRoot w:val="00E23314"/>
    <w:rsid w:val="00002277"/>
    <w:rsid w:val="0002125E"/>
    <w:rsid w:val="000218BF"/>
    <w:rsid w:val="0002736F"/>
    <w:rsid w:val="000401F8"/>
    <w:rsid w:val="0007469A"/>
    <w:rsid w:val="000A00BD"/>
    <w:rsid w:val="000F0674"/>
    <w:rsid w:val="000F0D8B"/>
    <w:rsid w:val="00126DB5"/>
    <w:rsid w:val="001450E5"/>
    <w:rsid w:val="001A06BB"/>
    <w:rsid w:val="001B313A"/>
    <w:rsid w:val="001C7484"/>
    <w:rsid w:val="00200F15"/>
    <w:rsid w:val="002016AF"/>
    <w:rsid w:val="0021519C"/>
    <w:rsid w:val="00277E92"/>
    <w:rsid w:val="002B1EC7"/>
    <w:rsid w:val="002E39B7"/>
    <w:rsid w:val="002F4CD0"/>
    <w:rsid w:val="003150A8"/>
    <w:rsid w:val="0031747A"/>
    <w:rsid w:val="00337911"/>
    <w:rsid w:val="003636FB"/>
    <w:rsid w:val="003C624F"/>
    <w:rsid w:val="003D64A0"/>
    <w:rsid w:val="003D6FD4"/>
    <w:rsid w:val="0041395C"/>
    <w:rsid w:val="0042262B"/>
    <w:rsid w:val="0043458D"/>
    <w:rsid w:val="004539F0"/>
    <w:rsid w:val="004701B1"/>
    <w:rsid w:val="00473524"/>
    <w:rsid w:val="004754B2"/>
    <w:rsid w:val="004C306B"/>
    <w:rsid w:val="00503379"/>
    <w:rsid w:val="00524374"/>
    <w:rsid w:val="0053067C"/>
    <w:rsid w:val="00534CA5"/>
    <w:rsid w:val="00555C94"/>
    <w:rsid w:val="005E35F3"/>
    <w:rsid w:val="00630427"/>
    <w:rsid w:val="00645846"/>
    <w:rsid w:val="00655E9C"/>
    <w:rsid w:val="006939B6"/>
    <w:rsid w:val="006C0E96"/>
    <w:rsid w:val="007136B4"/>
    <w:rsid w:val="007232B2"/>
    <w:rsid w:val="00782591"/>
    <w:rsid w:val="007D0226"/>
    <w:rsid w:val="007D247D"/>
    <w:rsid w:val="008433C8"/>
    <w:rsid w:val="008937FA"/>
    <w:rsid w:val="008A6B32"/>
    <w:rsid w:val="008D3EC6"/>
    <w:rsid w:val="009504ED"/>
    <w:rsid w:val="00951837"/>
    <w:rsid w:val="00953724"/>
    <w:rsid w:val="00A165CE"/>
    <w:rsid w:val="00A21084"/>
    <w:rsid w:val="00A407ED"/>
    <w:rsid w:val="00A470EB"/>
    <w:rsid w:val="00A718B9"/>
    <w:rsid w:val="00A71DA5"/>
    <w:rsid w:val="00AA06E5"/>
    <w:rsid w:val="00AB22A3"/>
    <w:rsid w:val="00AD67FC"/>
    <w:rsid w:val="00AF17A4"/>
    <w:rsid w:val="00B06E98"/>
    <w:rsid w:val="00B17269"/>
    <w:rsid w:val="00B223B7"/>
    <w:rsid w:val="00B35850"/>
    <w:rsid w:val="00B52836"/>
    <w:rsid w:val="00B54B0B"/>
    <w:rsid w:val="00B64BA3"/>
    <w:rsid w:val="00B6687A"/>
    <w:rsid w:val="00BC3603"/>
    <w:rsid w:val="00BE39CE"/>
    <w:rsid w:val="00BF5FA0"/>
    <w:rsid w:val="00C21959"/>
    <w:rsid w:val="00C23F7E"/>
    <w:rsid w:val="00C91AF8"/>
    <w:rsid w:val="00CB5A8B"/>
    <w:rsid w:val="00D11DDF"/>
    <w:rsid w:val="00D13C7C"/>
    <w:rsid w:val="00D811CF"/>
    <w:rsid w:val="00DB1F71"/>
    <w:rsid w:val="00DD1A1C"/>
    <w:rsid w:val="00DE2D05"/>
    <w:rsid w:val="00DF224B"/>
    <w:rsid w:val="00E23314"/>
    <w:rsid w:val="00E62A4B"/>
    <w:rsid w:val="00E65671"/>
    <w:rsid w:val="00E70819"/>
    <w:rsid w:val="00EA4682"/>
    <w:rsid w:val="00ED068C"/>
    <w:rsid w:val="00EE4423"/>
    <w:rsid w:val="00F6140B"/>
    <w:rsid w:val="00F76A58"/>
    <w:rsid w:val="00F777D8"/>
    <w:rsid w:val="00F94DD8"/>
    <w:rsid w:val="00FA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8E5FC9-0900-46A2-99DA-E3A9BF9F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314"/>
    <w:pPr>
      <w:ind w:left="720"/>
      <w:contextualSpacing/>
    </w:pPr>
  </w:style>
  <w:style w:type="character" w:styleId="Hyperlink">
    <w:name w:val="Hyperlink"/>
    <w:basedOn w:val="DefaultParagraphFont"/>
    <w:uiPriority w:val="99"/>
    <w:unhideWhenUsed/>
    <w:rsid w:val="007232B2"/>
    <w:rPr>
      <w:color w:val="0563C1" w:themeColor="hyperlink"/>
      <w:u w:val="single"/>
    </w:rPr>
  </w:style>
  <w:style w:type="paragraph" w:styleId="Header">
    <w:name w:val="header"/>
    <w:basedOn w:val="Normal"/>
    <w:link w:val="HeaderChar"/>
    <w:uiPriority w:val="99"/>
    <w:unhideWhenUsed/>
    <w:rsid w:val="00F6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0B"/>
  </w:style>
  <w:style w:type="paragraph" w:styleId="Footer">
    <w:name w:val="footer"/>
    <w:basedOn w:val="Normal"/>
    <w:link w:val="FooterChar"/>
    <w:uiPriority w:val="99"/>
    <w:unhideWhenUsed/>
    <w:rsid w:val="00F6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0B"/>
  </w:style>
  <w:style w:type="paragraph" w:styleId="NormalWeb">
    <w:name w:val="Normal (Web)"/>
    <w:basedOn w:val="Normal"/>
    <w:uiPriority w:val="99"/>
    <w:unhideWhenUsed/>
    <w:rsid w:val="000746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95592">
      <w:bodyDiv w:val="1"/>
      <w:marLeft w:val="0"/>
      <w:marRight w:val="0"/>
      <w:marTop w:val="0"/>
      <w:marBottom w:val="0"/>
      <w:divBdr>
        <w:top w:val="none" w:sz="0" w:space="0" w:color="auto"/>
        <w:left w:val="none" w:sz="0" w:space="0" w:color="auto"/>
        <w:bottom w:val="none" w:sz="0" w:space="0" w:color="auto"/>
        <w:right w:val="none" w:sz="0" w:space="0" w:color="auto"/>
      </w:divBdr>
    </w:div>
    <w:div w:id="958491302">
      <w:bodyDiv w:val="1"/>
      <w:marLeft w:val="0"/>
      <w:marRight w:val="0"/>
      <w:marTop w:val="0"/>
      <w:marBottom w:val="0"/>
      <w:divBdr>
        <w:top w:val="none" w:sz="0" w:space="0" w:color="auto"/>
        <w:left w:val="none" w:sz="0" w:space="0" w:color="auto"/>
        <w:bottom w:val="none" w:sz="0" w:space="0" w:color="auto"/>
        <w:right w:val="none" w:sz="0" w:space="0" w:color="auto"/>
      </w:divBdr>
    </w:div>
    <w:div w:id="1462307684">
      <w:bodyDiv w:val="1"/>
      <w:marLeft w:val="0"/>
      <w:marRight w:val="0"/>
      <w:marTop w:val="0"/>
      <w:marBottom w:val="0"/>
      <w:divBdr>
        <w:top w:val="none" w:sz="0" w:space="0" w:color="auto"/>
        <w:left w:val="none" w:sz="0" w:space="0" w:color="auto"/>
        <w:bottom w:val="none" w:sz="0" w:space="0" w:color="auto"/>
        <w:right w:val="none" w:sz="0" w:space="0" w:color="auto"/>
      </w:divBdr>
    </w:div>
    <w:div w:id="16776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DeRosier</dc:creator>
  <cp:keywords/>
  <dc:description/>
  <cp:lastModifiedBy>Messina Owings</cp:lastModifiedBy>
  <cp:revision>2</cp:revision>
  <dcterms:created xsi:type="dcterms:W3CDTF">2019-07-15T20:38:00Z</dcterms:created>
  <dcterms:modified xsi:type="dcterms:W3CDTF">2019-07-15T20:38:00Z</dcterms:modified>
</cp:coreProperties>
</file>